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Angles, Parallelogram Properties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Opposite Sides, Opposite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Regular Polygon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Right, Acute, obtuse triangle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Scalene, Isosceles, equilateral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Bisector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Square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Trapezoid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Parallelogram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Skew 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12  - (Coordinate Geometry)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