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Data Analysis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Median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Outlier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Quartiles (Q1,Q3)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Box and Whisker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Histogram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Pie Chart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Percentage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Positive skew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Negative Skew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Bimodal, Unimodal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Normal Distribution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10 - (Intermediate Algebra)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